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left" w:pos="2505"/>
          <w:tab w:val="center" w:pos="4320"/>
        </w:tabs>
        <w:jc w:val="left"/>
        <w:rPr>
          <w:rFonts w:hint="default" w:ascii="Times New Roman" w:hAnsi="Times New Roman" w:cs="Times New Roman"/>
          <w:szCs w:val="24"/>
        </w:rPr>
      </w:pPr>
      <w:r>
        <w:rPr>
          <w:rFonts w:asciiTheme="minorHAnsi" w:hAnsiTheme="minorHAnsi" w:cstheme="minorHAnsi"/>
          <w:szCs w:val="24"/>
        </w:rPr>
        <w:drawing>
          <wp:anchor distT="0" distB="0" distL="114300" distR="114300" simplePos="0" relativeHeight="251659264" behindDoc="1" locked="0" layoutInCell="1" allowOverlap="1">
            <wp:simplePos x="0" y="0"/>
            <wp:positionH relativeFrom="column">
              <wp:posOffset>-419100</wp:posOffset>
            </wp:positionH>
            <wp:positionV relativeFrom="paragraph">
              <wp:posOffset>-95250</wp:posOffset>
            </wp:positionV>
            <wp:extent cx="828675" cy="857250"/>
            <wp:effectExtent l="19050" t="0" r="9525"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BC Seal - Large - Original"/>
                    <pic:cNvPicPr>
                      <a:picLocks noChangeAspect="1" noChangeArrowheads="1"/>
                    </pic:cNvPicPr>
                  </pic:nvPicPr>
                  <pic:blipFill>
                    <a:blip r:embed="rId6" cstate="print"/>
                    <a:srcRect/>
                    <a:stretch>
                      <a:fillRect/>
                    </a:stretch>
                  </pic:blipFill>
                  <pic:spPr>
                    <a:xfrm>
                      <a:off x="0" y="0"/>
                      <a:ext cx="828675" cy="857250"/>
                    </a:xfrm>
                    <a:prstGeom prst="rect">
                      <a:avLst/>
                    </a:prstGeom>
                    <a:noFill/>
                  </pic:spPr>
                </pic:pic>
              </a:graphicData>
            </a:graphic>
          </wp:anchor>
        </w:drawing>
      </w:r>
      <w:r>
        <w:rPr>
          <w:rFonts w:asciiTheme="minorHAnsi" w:hAnsiTheme="minorHAnsi" w:cstheme="minorHAnsi"/>
          <w:szCs w:val="24"/>
        </w:rPr>
        <w:tab/>
      </w:r>
      <w:r>
        <w:rPr>
          <w:rFonts w:hint="default" w:ascii="Times New Roman" w:hAnsi="Times New Roman" w:cs="Times New Roman"/>
          <w:szCs w:val="24"/>
        </w:rPr>
        <w:tab/>
      </w:r>
      <w:r>
        <w:rPr>
          <w:rFonts w:hint="default" w:ascii="Times New Roman" w:hAnsi="Times New Roman" w:cs="Times New Roman"/>
          <w:szCs w:val="24"/>
        </w:rPr>
        <w:t>Benedict College</w:t>
      </w:r>
    </w:p>
    <w:p>
      <w:pPr>
        <w:pStyle w:val="18"/>
        <w:rPr>
          <w:rFonts w:hint="default" w:ascii="Times New Roman" w:hAnsi="Times New Roman" w:cs="Times New Roman"/>
          <w:szCs w:val="24"/>
        </w:rPr>
      </w:pPr>
      <w:r>
        <w:rPr>
          <w:rFonts w:hint="default" w:ascii="Times New Roman" w:hAnsi="Times New Roman" w:cs="Times New Roman"/>
          <w:szCs w:val="24"/>
        </w:rPr>
        <w:t>School of Business and Economics</w:t>
      </w:r>
    </w:p>
    <w:p>
      <w:pPr>
        <w:pStyle w:val="18"/>
        <w:rPr>
          <w:rFonts w:hint="default" w:ascii="Times New Roman" w:hAnsi="Times New Roman" w:cs="Times New Roman"/>
          <w:szCs w:val="24"/>
        </w:rPr>
      </w:pPr>
      <w:r>
        <w:rPr>
          <w:rFonts w:hint="default" w:ascii="Times New Roman" w:hAnsi="Times New Roman" w:cs="Times New Roman"/>
          <w:szCs w:val="24"/>
        </w:rPr>
        <w:t>Business Administration, Management, and Marketing</w:t>
      </w:r>
    </w:p>
    <w:p>
      <w:pPr>
        <w:pStyle w:val="18"/>
        <w:rPr>
          <w:rFonts w:hint="default" w:ascii="Times New Roman" w:hAnsi="Times New Roman" w:cs="Times New Roman"/>
          <w:szCs w:val="24"/>
          <w:lang w:val="en-US"/>
        </w:rPr>
      </w:pPr>
      <w:r>
        <w:rPr>
          <w:rFonts w:hint="default" w:cs="Times New Roman"/>
          <w:szCs w:val="24"/>
          <w:lang w:val="en-US"/>
        </w:rPr>
        <w:t>Raymond Lee</w:t>
      </w:r>
    </w:p>
    <w:p>
      <w:pPr>
        <w:pStyle w:val="18"/>
        <w:rPr>
          <w:rFonts w:hint="default" w:ascii="Times New Roman" w:hAnsi="Times New Roman" w:cs="Times New Roman"/>
          <w:szCs w:val="24"/>
        </w:rPr>
      </w:pPr>
      <w:r>
        <w:rPr>
          <w:rFonts w:hint="default" w:ascii="Times New Roman" w:hAnsi="Times New Roman" w:cs="Times New Roman"/>
          <w:szCs w:val="24"/>
        </w:rPr>
        <w:t>Course Syllabus</w:t>
      </w:r>
    </w:p>
    <w:p>
      <w:pPr>
        <w:pStyle w:val="18"/>
        <w:rPr>
          <w:rFonts w:hint="default" w:ascii="Times New Roman" w:hAnsi="Times New Roman" w:cs="Times New Roman"/>
          <w:szCs w:val="24"/>
        </w:rPr>
      </w:pPr>
    </w:p>
    <w:p>
      <w:pPr>
        <w:jc w:val="center"/>
        <w:rPr>
          <w:rFonts w:hint="default" w:ascii="Times New Roman" w:hAnsi="Times New Roman" w:cs="Times New Roman"/>
          <w:b/>
          <w:sz w:val="24"/>
          <w:szCs w:val="24"/>
        </w:rPr>
      </w:pPr>
      <w:r>
        <w:rPr>
          <w:rFonts w:hint="default" w:ascii="Times New Roman" w:hAnsi="Times New Roman" w:cs="Times New Roman"/>
          <w:b/>
          <w:sz w:val="24"/>
          <w:szCs w:val="24"/>
        </w:rPr>
        <w:t>Junior Seminar II</w:t>
      </w:r>
    </w:p>
    <w:p>
      <w:pPr>
        <w:jc w:val="center"/>
        <w:rPr>
          <w:rFonts w:hint="default" w:ascii="Times New Roman" w:hAnsi="Times New Roman" w:cs="Times New Roman"/>
          <w:sz w:val="24"/>
          <w:szCs w:val="24"/>
          <w:lang w:val="en-US"/>
        </w:rPr>
      </w:pPr>
      <w:r>
        <w:rPr>
          <w:rFonts w:hint="default" w:ascii="Times New Roman" w:hAnsi="Times New Roman" w:cs="Times New Roman"/>
          <w:b/>
          <w:sz w:val="24"/>
          <w:szCs w:val="24"/>
        </w:rPr>
        <w:t>Course ID: B</w:t>
      </w:r>
      <w:r>
        <w:rPr>
          <w:rFonts w:hint="default" w:cs="Times New Roman"/>
          <w:b/>
          <w:sz w:val="24"/>
          <w:szCs w:val="24"/>
          <w:lang w:val="en-US"/>
        </w:rPr>
        <w:t>E</w:t>
      </w:r>
      <w:r>
        <w:rPr>
          <w:rFonts w:hint="default" w:ascii="Times New Roman" w:hAnsi="Times New Roman" w:cs="Times New Roman"/>
          <w:b/>
          <w:sz w:val="24"/>
          <w:szCs w:val="24"/>
        </w:rPr>
        <w:t xml:space="preserve"> 312</w:t>
      </w:r>
      <w:r>
        <w:rPr>
          <w:rFonts w:hint="default" w:cs="Times New Roman"/>
          <w:b/>
          <w:sz w:val="24"/>
          <w:szCs w:val="24"/>
          <w:lang w:val="en-US"/>
        </w:rPr>
        <w:t xml:space="preserve"> 01</w:t>
      </w:r>
      <w:bookmarkStart w:id="0" w:name="_GoBack"/>
      <w:bookmarkEnd w:id="0"/>
    </w:p>
    <w:p>
      <w:pPr>
        <w:pStyle w:val="18"/>
        <w:rPr>
          <w:rFonts w:hint="default" w:ascii="Times New Roman" w:hAnsi="Times New Roman" w:cs="Times New Roman"/>
          <w:szCs w:val="24"/>
        </w:rPr>
      </w:pPr>
    </w:p>
    <w:p>
      <w:pPr>
        <w:rPr>
          <w:rFonts w:hint="default" w:ascii="Times New Roman" w:hAnsi="Times New Roman" w:cs="Times New Roman"/>
          <w:color w:val="FF0000"/>
          <w:sz w:val="24"/>
          <w:szCs w:val="24"/>
        </w:rPr>
      </w:pPr>
      <w:r>
        <w:rPr>
          <w:rFonts w:hint="default" w:ascii="Times New Roman" w:hAnsi="Times New Roman" w:cs="Times New Roman"/>
          <w:b/>
          <w:sz w:val="24"/>
          <w:szCs w:val="24"/>
          <w:u w:val="single"/>
        </w:rPr>
        <w:t>Course Catalogue Description</w:t>
      </w:r>
      <w:r>
        <w:rPr>
          <w:rFonts w:hint="default" w:ascii="Times New Roman" w:hAnsi="Times New Roman" w:cs="Times New Roman"/>
          <w:sz w:val="24"/>
          <w:szCs w:val="24"/>
        </w:rPr>
        <w:t>:  This course is a continuation of Junior Seminar I. The primary focus is to engage students in the mastery of E-Resume development, completion of graduate school application process, selected seminar topics, development of a personal portfolio and development of academic self-assessment skills.</w:t>
      </w:r>
    </w:p>
    <w:p>
      <w:pPr>
        <w:pStyle w:val="18"/>
        <w:rPr>
          <w:rFonts w:hint="default" w:ascii="Times New Roman" w:hAnsi="Times New Roman" w:cs="Times New Roman"/>
          <w:szCs w:val="24"/>
        </w:rPr>
      </w:pPr>
    </w:p>
    <w:p>
      <w:pPr>
        <w:keepNext/>
        <w:outlineLvl w:val="2"/>
        <w:rPr>
          <w:rFonts w:hint="default" w:ascii="Times New Roman" w:hAnsi="Times New Roman" w:cs="Times New Roman"/>
          <w:sz w:val="24"/>
          <w:szCs w:val="24"/>
        </w:rPr>
      </w:pPr>
      <w:r>
        <w:rPr>
          <w:rFonts w:hint="default" w:ascii="Times New Roman" w:hAnsi="Times New Roman" w:cs="Times New Roman"/>
          <w:b/>
          <w:sz w:val="24"/>
          <w:szCs w:val="24"/>
          <w:u w:val="single"/>
        </w:rPr>
        <w:t>Student Learning Outcomes</w:t>
      </w:r>
      <w:r>
        <w:rPr>
          <w:rFonts w:hint="default" w:ascii="Times New Roman" w:hAnsi="Times New Roman" w:cs="Times New Roman"/>
          <w:sz w:val="24"/>
          <w:szCs w:val="24"/>
        </w:rPr>
        <w:t>:  Upon completion of this course, students will be able to:</w:t>
      </w:r>
    </w:p>
    <w:p>
      <w:pPr>
        <w:keepNext/>
        <w:ind w:firstLine="720" w:firstLineChars="300"/>
        <w:outlineLvl w:val="2"/>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Search and identify career and job possibilities that “fit” with the student</w:t>
      </w:r>
    </w:p>
    <w:p>
      <w:pPr>
        <w:keepNext/>
        <w:ind w:left="720"/>
        <w:outlineLvl w:val="2"/>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Develop a resume that demonstrates strong potential</w:t>
      </w:r>
    </w:p>
    <w:p>
      <w:pPr>
        <w:keepNext/>
        <w:ind w:left="720"/>
        <w:outlineLvl w:val="2"/>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r>
        <w:rPr>
          <w:rFonts w:hint="default" w:ascii="Times New Roman" w:hAnsi="Times New Roman" w:cs="Times New Roman"/>
          <w:sz w:val="24"/>
          <w:szCs w:val="24"/>
        </w:rPr>
        <w:t>. D</w:t>
      </w:r>
      <w:r>
        <w:rPr>
          <w:rFonts w:hint="default" w:ascii="Times New Roman" w:hAnsi="Times New Roman" w:cs="Times New Roman"/>
          <w:sz w:val="24"/>
          <w:szCs w:val="24"/>
          <w:lang w:val="en-US"/>
        </w:rPr>
        <w:t>evelop strong cover letter writing skills</w:t>
      </w:r>
    </w:p>
    <w:p>
      <w:pPr>
        <w:keepNext/>
        <w:ind w:left="720"/>
        <w:outlineLvl w:val="2"/>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4. The graduate school application process </w:t>
      </w:r>
    </w:p>
    <w:p>
      <w:pPr>
        <w:keepNext/>
        <w:ind w:left="720"/>
        <w:outlineLvl w:val="2"/>
        <w:rPr>
          <w:rFonts w:hint="default" w:ascii="Times New Roman" w:hAnsi="Times New Roman" w:cs="Times New Roman"/>
          <w:sz w:val="24"/>
          <w:szCs w:val="24"/>
          <w:lang w:val="en-US"/>
        </w:rPr>
      </w:pPr>
      <w:r>
        <w:rPr>
          <w:rFonts w:hint="default" w:ascii="Times New Roman" w:hAnsi="Times New Roman" w:cs="Times New Roman"/>
          <w:sz w:val="24"/>
          <w:szCs w:val="24"/>
          <w:lang w:val="en-US"/>
        </w:rPr>
        <w:t>5</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 xml:space="preserve">Begin the research process that will lead to the Research Paper or the Business </w:t>
      </w:r>
    </w:p>
    <w:p>
      <w:pPr>
        <w:keepNext/>
        <w:ind w:left="720"/>
        <w:outlineLvl w:val="2"/>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    Plan </w:t>
      </w:r>
    </w:p>
    <w:p>
      <w:pPr>
        <w:keepNext/>
        <w:outlineLvl w:val="2"/>
        <w:rPr>
          <w:rFonts w:hint="default" w:ascii="Times New Roman" w:hAnsi="Times New Roman" w:cs="Times New Roman"/>
          <w:sz w:val="24"/>
          <w:szCs w:val="24"/>
        </w:rPr>
      </w:pPr>
    </w:p>
    <w:p>
      <w:pPr>
        <w:rPr>
          <w:rFonts w:hint="default" w:ascii="Times New Roman" w:hAnsi="Times New Roman" w:cs="Times New Roman"/>
          <w:sz w:val="24"/>
          <w:szCs w:val="24"/>
        </w:rPr>
      </w:pPr>
      <w:r>
        <w:rPr>
          <w:rFonts w:hint="default" w:ascii="Times New Roman" w:hAnsi="Times New Roman" w:cs="Times New Roman"/>
          <w:b/>
          <w:sz w:val="24"/>
          <w:szCs w:val="24"/>
          <w:u w:val="single"/>
        </w:rPr>
        <w:t>Course Requirements</w:t>
      </w:r>
      <w:r>
        <w:rPr>
          <w:rFonts w:hint="default" w:ascii="Times New Roman" w:hAnsi="Times New Roman" w:cs="Times New Roman"/>
          <w:sz w:val="24"/>
          <w:szCs w:val="24"/>
        </w:rPr>
        <w:t xml:space="preserve">:  </w:t>
      </w:r>
    </w:p>
    <w:p>
      <w:pPr>
        <w:numPr>
          <w:ilvl w:val="0"/>
          <w:numId w:val="1"/>
        </w:numPr>
        <w:contextualSpacing/>
        <w:rPr>
          <w:rFonts w:hint="default" w:ascii="Times New Roman" w:hAnsi="Times New Roman" w:cs="Times New Roman"/>
          <w:sz w:val="24"/>
          <w:szCs w:val="24"/>
        </w:rPr>
      </w:pPr>
      <w:r>
        <w:rPr>
          <w:rFonts w:hint="default" w:ascii="Times New Roman" w:hAnsi="Times New Roman" w:cs="Times New Roman"/>
          <w:sz w:val="24"/>
          <w:szCs w:val="24"/>
        </w:rPr>
        <w:t>Ability to utilize E360 Repository or other methods of saving electronic documents (Laptop, Tablet, Netbook, Etc.), College level dictionary.  Access to E360 is a requirement of the course.</w:t>
      </w:r>
    </w:p>
    <w:p>
      <w:pPr>
        <w:numPr>
          <w:ilvl w:val="0"/>
          <w:numId w:val="1"/>
        </w:numPr>
        <w:contextualSpacing/>
        <w:rPr>
          <w:rFonts w:hint="default" w:ascii="Times New Roman" w:hAnsi="Times New Roman" w:cs="Times New Roman"/>
          <w:sz w:val="24"/>
          <w:szCs w:val="24"/>
        </w:rPr>
      </w:pPr>
      <w:r>
        <w:rPr>
          <w:rFonts w:hint="default" w:ascii="Times New Roman" w:hAnsi="Times New Roman" w:cs="Times New Roman"/>
          <w:sz w:val="24"/>
          <w:szCs w:val="24"/>
        </w:rPr>
        <w:t>No Standard textbook is required. Resource materials will be provided as necessary by the professor and through Edvance360.</w:t>
      </w:r>
    </w:p>
    <w:p>
      <w:pPr>
        <w:numPr>
          <w:ilvl w:val="0"/>
          <w:numId w:val="1"/>
        </w:numPr>
        <w:contextualSpacing/>
        <w:rPr>
          <w:rFonts w:hint="default" w:ascii="Times New Roman" w:hAnsi="Times New Roman" w:cs="Times New Roman"/>
          <w:sz w:val="24"/>
          <w:szCs w:val="24"/>
        </w:rPr>
      </w:pPr>
      <w:r>
        <w:rPr>
          <w:rFonts w:hint="default" w:ascii="Times New Roman" w:hAnsi="Times New Roman" w:cs="Times New Roman"/>
          <w:sz w:val="24"/>
          <w:szCs w:val="24"/>
        </w:rPr>
        <w:t>Students are expected to submit all written assignments typewritten in Microsoft Word, unless otherwise indicated.</w:t>
      </w:r>
    </w:p>
    <w:p>
      <w:pPr>
        <w:ind w:left="720"/>
        <w:rPr>
          <w:rFonts w:hint="default" w:ascii="Times New Roman" w:hAnsi="Times New Roman" w:cs="Times New Roman"/>
          <w:b/>
          <w:bCs/>
          <w:sz w:val="24"/>
          <w:szCs w:val="24"/>
        </w:rPr>
      </w:pPr>
    </w:p>
    <w:p>
      <w:pPr>
        <w:rPr>
          <w:rFonts w:hint="default" w:ascii="Times New Roman" w:hAnsi="Times New Roman" w:cs="Times New Roman"/>
          <w:bCs/>
          <w:color w:val="C00000"/>
          <w:sz w:val="24"/>
          <w:szCs w:val="24"/>
        </w:rPr>
      </w:pPr>
      <w:r>
        <w:rPr>
          <w:rFonts w:hint="default" w:ascii="Times New Roman" w:hAnsi="Times New Roman" w:cs="Times New Roman"/>
          <w:b/>
          <w:sz w:val="24"/>
          <w:szCs w:val="24"/>
          <w:u w:val="single"/>
        </w:rPr>
        <w:t>Method of Instruction</w:t>
      </w:r>
      <w:r>
        <w:rPr>
          <w:rFonts w:hint="default" w:ascii="Times New Roman" w:hAnsi="Times New Roman" w:cs="Times New Roman"/>
          <w:sz w:val="24"/>
          <w:szCs w:val="24"/>
        </w:rPr>
        <w:t xml:space="preserve">:  </w:t>
      </w:r>
    </w:p>
    <w:p>
      <w:pPr>
        <w:keepNext/>
        <w:jc w:val="both"/>
        <w:outlineLvl w:val="5"/>
        <w:rPr>
          <w:rFonts w:hint="default" w:ascii="Times New Roman" w:hAnsi="Times New Roman" w:cs="Times New Roman"/>
          <w:bCs/>
          <w:sz w:val="24"/>
          <w:szCs w:val="24"/>
        </w:rPr>
      </w:pPr>
      <w:r>
        <w:rPr>
          <w:rFonts w:hint="default" w:ascii="Times New Roman" w:hAnsi="Times New Roman" w:cs="Times New Roman"/>
          <w:bCs/>
          <w:sz w:val="24"/>
          <w:szCs w:val="24"/>
        </w:rPr>
        <w:t xml:space="preserve">The material for this course will be covered virtually on Edvance360 and in class through </w:t>
      </w:r>
      <w:r>
        <w:rPr>
          <w:rFonts w:hint="default" w:ascii="Times New Roman" w:hAnsi="Times New Roman" w:cs="Times New Roman"/>
          <w:bCs/>
          <w:sz w:val="24"/>
          <w:szCs w:val="24"/>
          <w:lang w:val="en-US"/>
        </w:rPr>
        <w:t>the Learning Modules.  Also, students will be required to use</w:t>
      </w:r>
      <w:r>
        <w:rPr>
          <w:rFonts w:hint="default" w:ascii="Times New Roman" w:hAnsi="Times New Roman" w:cs="Times New Roman"/>
          <w:bCs/>
          <w:sz w:val="24"/>
          <w:szCs w:val="24"/>
        </w:rPr>
        <w:t xml:space="preserve"> group audio/video media, internet resources</w:t>
      </w:r>
      <w:r>
        <w:rPr>
          <w:rFonts w:hint="default" w:ascii="Times New Roman" w:hAnsi="Times New Roman" w:cs="Times New Roman"/>
          <w:bCs/>
          <w:sz w:val="24"/>
          <w:szCs w:val="24"/>
          <w:lang w:val="en-US"/>
        </w:rPr>
        <w:t>,</w:t>
      </w:r>
      <w:r>
        <w:rPr>
          <w:rFonts w:hint="default" w:ascii="Times New Roman" w:hAnsi="Times New Roman" w:cs="Times New Roman"/>
          <w:bCs/>
          <w:sz w:val="24"/>
          <w:szCs w:val="24"/>
        </w:rPr>
        <w:t xml:space="preserve"> and</w:t>
      </w:r>
      <w:r>
        <w:rPr>
          <w:rFonts w:hint="default" w:ascii="Times New Roman" w:hAnsi="Times New Roman" w:cs="Times New Roman"/>
          <w:bCs/>
          <w:sz w:val="24"/>
          <w:szCs w:val="24"/>
          <w:lang w:val="en-US"/>
        </w:rPr>
        <w:t xml:space="preserve"> to read the uploaded readings that are in the Modules.</w:t>
      </w:r>
      <w:r>
        <w:rPr>
          <w:rFonts w:hint="default" w:ascii="Times New Roman" w:hAnsi="Times New Roman" w:cs="Times New Roman"/>
          <w:bCs/>
          <w:sz w:val="24"/>
          <w:szCs w:val="24"/>
        </w:rPr>
        <w:t xml:space="preserve"> </w:t>
      </w:r>
    </w:p>
    <w:p>
      <w:pPr>
        <w:rPr>
          <w:rFonts w:hint="default" w:ascii="Times New Roman" w:hAnsi="Times New Roman" w:cs="Times New Roman"/>
          <w:color w:val="C00000"/>
          <w:sz w:val="24"/>
          <w:szCs w:val="24"/>
        </w:rPr>
      </w:pPr>
    </w:p>
    <w:p>
      <w:pPr>
        <w:rPr>
          <w:rFonts w:hint="default" w:ascii="Times New Roman" w:hAnsi="Times New Roman" w:cs="Times New Roman"/>
          <w:color w:val="C00000"/>
          <w:sz w:val="24"/>
          <w:szCs w:val="24"/>
        </w:rPr>
      </w:pPr>
      <w:r>
        <w:rPr>
          <w:rFonts w:hint="default" w:ascii="Times New Roman" w:hAnsi="Times New Roman" w:cs="Times New Roman"/>
          <w:b/>
          <w:sz w:val="24"/>
          <w:szCs w:val="24"/>
          <w:u w:val="single"/>
        </w:rPr>
        <w:t>Course Evaluation</w:t>
      </w:r>
      <w:r>
        <w:rPr>
          <w:rFonts w:hint="default" w:ascii="Times New Roman" w:hAnsi="Times New Roman" w:cs="Times New Roman"/>
          <w:sz w:val="24"/>
          <w:szCs w:val="24"/>
        </w:rPr>
        <w:t xml:space="preserve">:  </w:t>
      </w:r>
      <w:r>
        <w:rPr>
          <w:rFonts w:hint="default" w:ascii="Times New Roman" w:hAnsi="Times New Roman" w:cs="Times New Roman"/>
          <w:bCs/>
          <w:sz w:val="24"/>
          <w:szCs w:val="24"/>
        </w:rPr>
        <w:t>Students will be evaluated using and the following tools and grading scales:</w:t>
      </w:r>
      <w:r>
        <w:rPr>
          <w:rFonts w:hint="default" w:ascii="Times New Roman" w:hAnsi="Times New Roman" w:cs="Times New Roman"/>
          <w:color w:val="C00000"/>
          <w:sz w:val="24"/>
          <w:szCs w:val="24"/>
        </w:rPr>
        <w:t xml:space="preserve"> </w:t>
      </w:r>
    </w:p>
    <w:p>
      <w:pPr>
        <w:rPr>
          <w:rFonts w:hint="default" w:ascii="Times New Roman" w:hAnsi="Times New Roman" w:cs="Times New Roman"/>
          <w:color w:val="C00000"/>
          <w:sz w:val="24"/>
          <w:szCs w:val="24"/>
        </w:rPr>
      </w:pPr>
      <w:r>
        <w:rPr>
          <w:rFonts w:hint="default" w:ascii="Times New Roman" w:hAnsi="Times New Roman" w:cs="Times New Roman"/>
          <w:color w:val="C00000"/>
          <w:sz w:val="24"/>
          <w:szCs w:val="24"/>
        </w:rPr>
        <w:t xml:space="preserve"> </w:t>
      </w:r>
    </w:p>
    <w:p>
      <w:pPr>
        <w:rPr>
          <w:rFonts w:hint="default" w:ascii="Times New Roman" w:hAnsi="Times New Roman" w:cs="Times New Roman"/>
          <w:sz w:val="24"/>
          <w:szCs w:val="24"/>
        </w:rPr>
      </w:pPr>
      <w:r>
        <w:rPr>
          <w:rFonts w:hint="default" w:ascii="Times New Roman" w:hAnsi="Times New Roman" w:cs="Times New Roman"/>
          <w:sz w:val="24"/>
          <w:szCs w:val="24"/>
        </w:rPr>
        <w:t>Benedict College Grading Scale:</w:t>
      </w:r>
    </w:p>
    <w:p>
      <w:pPr>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rPr>
        <w:tab/>
      </w:r>
      <w:r>
        <w:rPr>
          <w:rFonts w:hint="default" w:ascii="Times New Roman" w:hAnsi="Times New Roman" w:cs="Times New Roman"/>
          <w:sz w:val="24"/>
          <w:szCs w:val="24"/>
        </w:rPr>
        <w:t>Superior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90 – 100</w:t>
      </w:r>
    </w:p>
    <w:p>
      <w:pPr>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rPr>
        <w:tab/>
      </w:r>
      <w:r>
        <w:rPr>
          <w:rFonts w:hint="default" w:ascii="Times New Roman" w:hAnsi="Times New Roman" w:cs="Times New Roman"/>
          <w:sz w:val="24"/>
          <w:szCs w:val="24"/>
        </w:rPr>
        <w:t>Very Good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80 – 89</w:t>
      </w:r>
    </w:p>
    <w:p>
      <w:pPr>
        <w:rPr>
          <w:rFonts w:hint="default" w:ascii="Times New Roman" w:hAnsi="Times New Roman" w:cs="Times New Roman"/>
          <w:sz w:val="24"/>
          <w:szCs w:val="24"/>
        </w:rPr>
      </w:pPr>
      <w:r>
        <w:rPr>
          <w:rFonts w:hint="default" w:ascii="Times New Roman" w:hAnsi="Times New Roman" w:cs="Times New Roman"/>
          <w:sz w:val="24"/>
          <w:szCs w:val="24"/>
        </w:rPr>
        <w:t>C</w:t>
      </w:r>
      <w:r>
        <w:rPr>
          <w:rFonts w:hint="default" w:ascii="Times New Roman" w:hAnsi="Times New Roman" w:cs="Times New Roman"/>
          <w:sz w:val="24"/>
          <w:szCs w:val="24"/>
        </w:rPr>
        <w:tab/>
      </w:r>
      <w:r>
        <w:rPr>
          <w:rFonts w:hint="default" w:ascii="Times New Roman" w:hAnsi="Times New Roman" w:cs="Times New Roman"/>
          <w:sz w:val="24"/>
          <w:szCs w:val="24"/>
        </w:rPr>
        <w:t>Acceptable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70 – 79</w:t>
      </w:r>
    </w:p>
    <w:p>
      <w:pPr>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rPr>
        <w:tab/>
      </w:r>
      <w:r>
        <w:rPr>
          <w:rFonts w:hint="default" w:ascii="Times New Roman" w:hAnsi="Times New Roman" w:cs="Times New Roman"/>
          <w:sz w:val="24"/>
          <w:szCs w:val="24"/>
        </w:rPr>
        <w:t>Passing but Weak</w:t>
      </w:r>
      <w:r>
        <w:rPr>
          <w:rFonts w:hint="default" w:ascii="Times New Roman" w:hAnsi="Times New Roman" w:cs="Times New Roman"/>
          <w:sz w:val="24"/>
          <w:szCs w:val="24"/>
        </w:rPr>
        <w:tab/>
      </w:r>
      <w:r>
        <w:rPr>
          <w:rFonts w:hint="default" w:ascii="Times New Roman" w:hAnsi="Times New Roman" w:cs="Times New Roman"/>
          <w:sz w:val="24"/>
          <w:szCs w:val="24"/>
        </w:rPr>
        <w:t>60 – 69</w:t>
      </w:r>
    </w:p>
    <w:p>
      <w:pPr>
        <w:rPr>
          <w:rFonts w:hint="default" w:ascii="Times New Roman" w:hAnsi="Times New Roman" w:cs="Times New Roman"/>
          <w:sz w:val="24"/>
          <w:szCs w:val="24"/>
        </w:rPr>
      </w:pPr>
      <w:r>
        <w:rPr>
          <w:rFonts w:hint="default" w:ascii="Times New Roman" w:hAnsi="Times New Roman" w:cs="Times New Roman"/>
          <w:sz w:val="24"/>
          <w:szCs w:val="24"/>
        </w:rPr>
        <w:t>F</w:t>
      </w:r>
      <w:r>
        <w:rPr>
          <w:rFonts w:hint="default" w:ascii="Times New Roman" w:hAnsi="Times New Roman" w:cs="Times New Roman"/>
          <w:sz w:val="24"/>
          <w:szCs w:val="24"/>
        </w:rPr>
        <w:tab/>
      </w:r>
      <w:r>
        <w:rPr>
          <w:rFonts w:hint="default" w:ascii="Times New Roman" w:hAnsi="Times New Roman" w:cs="Times New Roman"/>
          <w:sz w:val="24"/>
          <w:szCs w:val="24"/>
        </w:rPr>
        <w:t>Unsatisfactory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Below 60</w:t>
      </w:r>
    </w:p>
    <w:p>
      <w:pPr>
        <w:rPr>
          <w:rFonts w:hint="default" w:ascii="Times New Roman" w:hAnsi="Times New Roman" w:cs="Times New Roman"/>
          <w:sz w:val="24"/>
          <w:szCs w:val="24"/>
          <w:u w:val="single"/>
        </w:rPr>
      </w:pPr>
    </w:p>
    <w:p>
      <w:pPr>
        <w:rPr>
          <w:rFonts w:hint="default" w:ascii="Times New Roman" w:hAnsi="Times New Roman" w:cs="Times New Roman"/>
          <w:sz w:val="24"/>
          <w:szCs w:val="24"/>
          <w:u w:val="single"/>
        </w:rPr>
      </w:pPr>
    </w:p>
    <w:p>
      <w:pPr>
        <w:rPr>
          <w:rFonts w:hint="default" w:ascii="Times New Roman" w:hAnsi="Times New Roman" w:cs="Times New Roman"/>
          <w:sz w:val="24"/>
          <w:szCs w:val="24"/>
          <w:u w:val="single"/>
        </w:rPr>
      </w:pPr>
    </w:p>
    <w:p>
      <w:pPr>
        <w:rPr>
          <w:rFonts w:hint="default" w:ascii="Times New Roman" w:hAnsi="Times New Roman" w:cs="Times New Roman"/>
          <w:sz w:val="24"/>
          <w:szCs w:val="24"/>
          <w:u w:val="single"/>
        </w:rPr>
      </w:pPr>
    </w:p>
    <w:p>
      <w:pPr>
        <w:rPr>
          <w:rFonts w:hint="default" w:ascii="Times New Roman" w:hAnsi="Times New Roman" w:cs="Times New Roman"/>
          <w:sz w:val="24"/>
          <w:szCs w:val="24"/>
          <w:u w:val="single"/>
        </w:rPr>
      </w:pPr>
    </w:p>
    <w:p>
      <w:pPr>
        <w:rPr>
          <w:rFonts w:hint="default" w:ascii="Times New Roman" w:hAnsi="Times New Roman" w:cs="Times New Roman"/>
          <w:sz w:val="24"/>
          <w:szCs w:val="24"/>
          <w:u w:val="single"/>
        </w:rPr>
      </w:pPr>
    </w:p>
    <w:p>
      <w:pPr>
        <w:rPr>
          <w:rFonts w:hint="default" w:ascii="Times New Roman" w:hAnsi="Times New Roman" w:cs="Times New Roman"/>
          <w:sz w:val="24"/>
          <w:szCs w:val="24"/>
          <w:u w:val="single"/>
        </w:rPr>
      </w:pPr>
    </w:p>
    <w:p>
      <w:pPr>
        <w:rPr>
          <w:rFonts w:hint="default" w:ascii="Times New Roman" w:hAnsi="Times New Roman" w:cs="Times New Roman"/>
          <w:sz w:val="24"/>
          <w:szCs w:val="24"/>
          <w:u w:val="single"/>
        </w:rPr>
      </w:pPr>
    </w:p>
    <w:p>
      <w:pPr>
        <w:rPr>
          <w:rFonts w:hint="default" w:ascii="Times New Roman" w:hAnsi="Times New Roman" w:cs="Times New Roman"/>
          <w:b/>
          <w:sz w:val="24"/>
          <w:szCs w:val="24"/>
          <w:u w:val="single"/>
        </w:rPr>
      </w:pPr>
      <w:r>
        <w:rPr>
          <w:rFonts w:hint="default" w:ascii="Times New Roman" w:hAnsi="Times New Roman" w:cs="Times New Roman"/>
          <w:b/>
          <w:sz w:val="24"/>
          <w:szCs w:val="24"/>
          <w:u w:val="single"/>
        </w:rPr>
        <w:t>Knowledge Assessment Grading Scale:</w:t>
      </w:r>
    </w:p>
    <w:p>
      <w:pPr>
        <w:rPr>
          <w:rFonts w:hint="default" w:ascii="Times New Roman" w:hAnsi="Times New Roman" w:cs="Times New Roman"/>
          <w:sz w:val="24"/>
          <w:szCs w:val="24"/>
        </w:rPr>
      </w:pPr>
    </w:p>
    <w:p>
      <w:pPr>
        <w:rPr>
          <w:rFonts w:hint="default" w:ascii="Times New Roman" w:hAnsi="Times New Roman" w:cs="Times New Roman"/>
          <w:sz w:val="24"/>
          <w:szCs w:val="24"/>
          <w:lang w:val="en-US"/>
        </w:rPr>
      </w:pPr>
      <w:r>
        <w:rPr>
          <w:rFonts w:hint="default" w:ascii="Times New Roman" w:hAnsi="Times New Roman" w:cs="Times New Roman"/>
          <w:sz w:val="24"/>
          <w:szCs w:val="24"/>
        </w:rPr>
        <w:t>Current Issues Discussion Posts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50 points</w:t>
      </w:r>
      <w:r>
        <w:rPr>
          <w:rFonts w:hint="default" w:ascii="Times New Roman" w:hAnsi="Times New Roman" w:cs="Times New Roman"/>
          <w:sz w:val="24"/>
          <w:szCs w:val="24"/>
          <w:lang w:val="en-US"/>
        </w:rPr>
        <w:t xml:space="preserve"> each</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Job Search/Job Strategies                                             100 points each</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Resume Development                                                     “     “        “ </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Cover Letter Development                                              “     “        “</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Graduate School Application Process                             “     “        “</w:t>
      </w:r>
    </w:p>
    <w:p>
      <w:pPr>
        <w:rPr>
          <w:rFonts w:hint="default" w:ascii="Times New Roman" w:hAnsi="Times New Roman" w:cs="Times New Roman"/>
          <w:sz w:val="24"/>
          <w:szCs w:val="24"/>
          <w:lang w:val="en-US"/>
        </w:rPr>
      </w:pPr>
      <w:r>
        <w:rPr>
          <w:rFonts w:hint="default" w:ascii="Times New Roman" w:hAnsi="Times New Roman" w:cs="Times New Roman"/>
          <w:sz w:val="24"/>
          <w:szCs w:val="24"/>
          <w:lang w:val="en-US"/>
        </w:rPr>
        <w:t xml:space="preserve">Beginning the Research Process (SP/BP)                        “    “        “  </w:t>
      </w:r>
    </w:p>
    <w:p>
      <w:pPr>
        <w:rPr>
          <w:rFonts w:hint="default" w:ascii="Times New Roman" w:hAnsi="Times New Roman" w:cs="Times New Roman"/>
          <w:b/>
          <w:sz w:val="24"/>
          <w:szCs w:val="24"/>
          <w:u w:val="single"/>
        </w:rPr>
      </w:pPr>
    </w:p>
    <w:p>
      <w:pPr>
        <w:rPr>
          <w:rFonts w:hint="default" w:ascii="Times New Roman" w:hAnsi="Times New Roman" w:cs="Times New Roman"/>
          <w:b/>
          <w:sz w:val="24"/>
          <w:szCs w:val="24"/>
        </w:rPr>
      </w:pPr>
      <w:r>
        <w:rPr>
          <w:rFonts w:hint="default" w:ascii="Times New Roman" w:hAnsi="Times New Roman" w:cs="Times New Roman"/>
          <w:b/>
          <w:sz w:val="24"/>
          <w:szCs w:val="24"/>
        </w:rPr>
        <w:t>Current Issues Discussion Posts</w:t>
      </w:r>
    </w:p>
    <w:p>
      <w:pPr>
        <w:rPr>
          <w:rFonts w:hint="default" w:ascii="Times New Roman" w:hAnsi="Times New Roman" w:cs="Times New Roman"/>
          <w:b/>
          <w:sz w:val="24"/>
          <w:szCs w:val="24"/>
        </w:rPr>
      </w:pPr>
      <w:r>
        <w:rPr>
          <w:rFonts w:hint="default" w:ascii="Times New Roman" w:hAnsi="Times New Roman" w:cs="Times New Roman"/>
          <w:sz w:val="24"/>
          <w:szCs w:val="24"/>
        </w:rPr>
        <w:t xml:space="preserve">Students are required to respond to discussion posts on current issues or topics related to </w:t>
      </w:r>
      <w:r>
        <w:rPr>
          <w:rFonts w:hint="default" w:ascii="Times New Roman" w:hAnsi="Times New Roman" w:cs="Times New Roman"/>
          <w:sz w:val="24"/>
          <w:szCs w:val="24"/>
          <w:lang w:val="en-US"/>
        </w:rPr>
        <w:t>career, graduate school, or the Senior Paper or the Business Plan</w:t>
      </w:r>
    </w:p>
    <w:p>
      <w:pPr>
        <w:rPr>
          <w:rFonts w:hint="default" w:ascii="Times New Roman" w:hAnsi="Times New Roman" w:cs="Times New Roman"/>
          <w:b/>
          <w:sz w:val="24"/>
          <w:szCs w:val="24"/>
        </w:rPr>
      </w:pPr>
    </w:p>
    <w:p>
      <w:pPr>
        <w:rPr>
          <w:rFonts w:hint="default" w:ascii="Times New Roman" w:hAnsi="Times New Roman" w:cs="Times New Roman"/>
          <w:b/>
          <w:sz w:val="24"/>
          <w:szCs w:val="24"/>
        </w:rPr>
      </w:pPr>
      <w:r>
        <w:rPr>
          <w:rFonts w:hint="default" w:ascii="Times New Roman" w:hAnsi="Times New Roman" w:cs="Times New Roman"/>
          <w:b/>
          <w:sz w:val="24"/>
          <w:szCs w:val="24"/>
        </w:rPr>
        <w:t>Self-Assessment (Advisor Approved) Audit</w:t>
      </w:r>
    </w:p>
    <w:p>
      <w:pPr>
        <w:rPr>
          <w:rFonts w:hint="default" w:ascii="Times New Roman" w:hAnsi="Times New Roman" w:cs="Times New Roman"/>
          <w:sz w:val="24"/>
          <w:szCs w:val="24"/>
        </w:rPr>
      </w:pPr>
      <w:r>
        <w:rPr>
          <w:rFonts w:hint="default" w:ascii="Times New Roman" w:hAnsi="Times New Roman" w:cs="Times New Roman"/>
          <w:sz w:val="24"/>
          <w:szCs w:val="24"/>
        </w:rPr>
        <w:t>Students are required to complete a self-assessment/audit.  Students must submit the self-assessment to the professor.</w:t>
      </w:r>
    </w:p>
    <w:p>
      <w:pPr>
        <w:rPr>
          <w:rFonts w:hint="default" w:ascii="Times New Roman" w:hAnsi="Times New Roman" w:cs="Times New Roman"/>
          <w:sz w:val="24"/>
          <w:szCs w:val="24"/>
        </w:rPr>
      </w:pPr>
    </w:p>
    <w:p>
      <w:pPr>
        <w:rPr>
          <w:rFonts w:hint="default" w:ascii="Times New Roman" w:hAnsi="Times New Roman" w:cs="Times New Roman"/>
          <w:b/>
          <w:sz w:val="24"/>
          <w:szCs w:val="24"/>
        </w:rPr>
      </w:pPr>
      <w:r>
        <w:rPr>
          <w:rFonts w:hint="default" w:ascii="Times New Roman" w:hAnsi="Times New Roman" w:cs="Times New Roman"/>
          <w:b/>
          <w:sz w:val="24"/>
          <w:szCs w:val="24"/>
        </w:rPr>
        <w:t>Attendance</w:t>
      </w:r>
    </w:p>
    <w:p>
      <w:pPr>
        <w:rPr>
          <w:rFonts w:hint="default" w:ascii="Times New Roman" w:hAnsi="Times New Roman" w:cs="Times New Roman"/>
          <w:sz w:val="24"/>
          <w:szCs w:val="24"/>
        </w:rPr>
      </w:pPr>
      <w:r>
        <w:rPr>
          <w:rFonts w:hint="default" w:ascii="Times New Roman" w:hAnsi="Times New Roman" w:cs="Times New Roman"/>
          <w:sz w:val="24"/>
          <w:szCs w:val="24"/>
        </w:rPr>
        <w:t>Students are expected to attend every class.</w:t>
      </w:r>
    </w:p>
    <w:p>
      <w:pPr>
        <w:pStyle w:val="10"/>
        <w:ind w:left="0" w:firstLine="0"/>
        <w:rPr>
          <w:rFonts w:hint="default" w:ascii="Times New Roman" w:hAnsi="Times New Roman" w:cs="Times New Roman"/>
          <w:szCs w:val="24"/>
        </w:rPr>
      </w:pPr>
    </w:p>
    <w:p>
      <w:pPr>
        <w:pStyle w:val="10"/>
        <w:ind w:left="0" w:firstLine="0"/>
        <w:rPr>
          <w:rFonts w:hint="default" w:ascii="Times New Roman" w:hAnsi="Times New Roman" w:cs="Times New Roman"/>
          <w:b/>
          <w:szCs w:val="24"/>
        </w:rPr>
      </w:pPr>
      <w:r>
        <w:rPr>
          <w:rFonts w:hint="default" w:ascii="Times New Roman" w:hAnsi="Times New Roman" w:cs="Times New Roman"/>
          <w:b/>
          <w:szCs w:val="24"/>
        </w:rPr>
        <w:t>Business Plan/Research Paper</w:t>
      </w:r>
    </w:p>
    <w:p>
      <w:pPr>
        <w:tabs>
          <w:tab w:val="left" w:pos="-360"/>
          <w:tab w:val="left" w:pos="0"/>
        </w:tabs>
        <w:jc w:val="both"/>
        <w:rPr>
          <w:rStyle w:val="25"/>
          <w:rFonts w:hint="default" w:ascii="Times New Roman" w:hAnsi="Times New Roman" w:cs="Times New Roman"/>
          <w:sz w:val="24"/>
          <w:szCs w:val="24"/>
        </w:rPr>
      </w:pPr>
      <w:r>
        <w:rPr>
          <w:rStyle w:val="25"/>
          <w:rFonts w:hint="default" w:ascii="Times New Roman" w:hAnsi="Times New Roman" w:cs="Times New Roman"/>
          <w:sz w:val="24"/>
          <w:szCs w:val="24"/>
        </w:rPr>
        <w:t xml:space="preserve">Students will be required to submit items based on </w:t>
      </w:r>
      <w:r>
        <w:rPr>
          <w:rStyle w:val="25"/>
          <w:rFonts w:hint="default" w:ascii="Times New Roman" w:hAnsi="Times New Roman" w:cs="Times New Roman"/>
          <w:sz w:val="24"/>
          <w:szCs w:val="24"/>
          <w:lang w:val="en-US"/>
        </w:rPr>
        <w:t>their beginning research</w:t>
      </w:r>
      <w:r>
        <w:rPr>
          <w:rStyle w:val="25"/>
          <w:rFonts w:hint="default" w:ascii="Times New Roman" w:hAnsi="Times New Roman" w:cs="Times New Roman"/>
          <w:sz w:val="24"/>
          <w:szCs w:val="24"/>
        </w:rPr>
        <w:t xml:space="preserve"> in reference to his/her research paper or business plan.  Students will submit completed work to the appropriate Dropbox.   </w:t>
      </w:r>
    </w:p>
    <w:p>
      <w:pPr>
        <w:rPr>
          <w:rFonts w:hint="default" w:ascii="Times New Roman" w:hAnsi="Times New Roman" w:cs="Times New Roman"/>
          <w:b/>
          <w:sz w:val="24"/>
          <w:szCs w:val="24"/>
          <w:u w:val="single"/>
        </w:rPr>
      </w:pPr>
    </w:p>
    <w:p>
      <w:pPr>
        <w:rPr>
          <w:rFonts w:hint="default" w:ascii="Times New Roman" w:hAnsi="Times New Roman" w:cs="Times New Roman"/>
          <w:b/>
          <w:smallCaps/>
          <w:sz w:val="24"/>
          <w:szCs w:val="24"/>
        </w:rPr>
      </w:pPr>
      <w:r>
        <w:rPr>
          <w:rFonts w:hint="default" w:ascii="Times New Roman" w:hAnsi="Times New Roman" w:cs="Times New Roman"/>
          <w:b/>
          <w:smallCaps/>
          <w:sz w:val="24"/>
          <w:szCs w:val="24"/>
        </w:rPr>
        <w:br w:type="page"/>
      </w:r>
    </w:p>
    <w:p>
      <w:pPr>
        <w:rPr>
          <w:rFonts w:hint="default" w:ascii="Times New Roman" w:hAnsi="Times New Roman" w:cs="Times New Roman"/>
          <w:smallCaps/>
          <w:sz w:val="24"/>
          <w:szCs w:val="24"/>
        </w:rPr>
      </w:pPr>
      <w:r>
        <w:rPr>
          <w:rFonts w:hint="default" w:ascii="Times New Roman" w:hAnsi="Times New Roman" w:cs="Times New Roman"/>
          <w:b/>
          <w:smallCaps/>
          <w:sz w:val="24"/>
          <w:szCs w:val="24"/>
        </w:rPr>
        <w:t>College/Class Policies</w:t>
      </w:r>
      <w:r>
        <w:rPr>
          <w:rFonts w:hint="default" w:ascii="Times New Roman" w:hAnsi="Times New Roman" w:cs="Times New Roman"/>
          <w:smallCaps/>
          <w:sz w:val="24"/>
          <w:szCs w:val="24"/>
        </w:rPr>
        <w:t xml:space="preserve">: </w:t>
      </w:r>
    </w:p>
    <w:p>
      <w:pPr>
        <w:rPr>
          <w:rFonts w:hint="default" w:ascii="Times New Roman" w:hAnsi="Times New Roman" w:cs="Times New Roman"/>
          <w:smallCaps/>
          <w:sz w:val="24"/>
          <w:szCs w:val="24"/>
        </w:rPr>
      </w:pPr>
      <w:r>
        <w:rPr>
          <w:rFonts w:hint="default" w:ascii="Times New Roman" w:hAnsi="Times New Roman" w:cs="Times New Roman"/>
          <w:smallCaps/>
          <w:sz w:val="24"/>
          <w:szCs w:val="24"/>
        </w:rPr>
        <w:t xml:space="preserve"> </w:t>
      </w:r>
    </w:p>
    <w:p>
      <w:pPr>
        <w:rPr>
          <w:rFonts w:hint="default" w:ascii="Times New Roman" w:hAnsi="Times New Roman" w:cs="Times New Roman"/>
          <w:sz w:val="24"/>
          <w:szCs w:val="24"/>
        </w:rPr>
      </w:pPr>
      <w:r>
        <w:rPr>
          <w:rFonts w:hint="default" w:ascii="Times New Roman" w:hAnsi="Times New Roman" w:cs="Times New Roman"/>
          <w:b/>
          <w:smallCaps/>
          <w:sz w:val="24"/>
          <w:szCs w:val="24"/>
        </w:rPr>
        <w:t>Student Code of Academic Responsibility</w:t>
      </w:r>
      <w:r>
        <w:rPr>
          <w:rFonts w:hint="default" w:ascii="Times New Roman" w:hAnsi="Times New Roman" w:cs="Times New Roman"/>
          <w:smallCaps/>
          <w:sz w:val="24"/>
          <w:szCs w:val="24"/>
        </w:rPr>
        <w:t>:</w:t>
      </w:r>
      <w:r>
        <w:rPr>
          <w:rFonts w:hint="default" w:ascii="Times New Roman" w:hAnsi="Times New Roman" w:cs="Times New Roman"/>
          <w:sz w:val="24"/>
          <w:szCs w:val="24"/>
        </w:rPr>
        <w:t xml:space="preserve"> </w:t>
      </w:r>
    </w:p>
    <w:p>
      <w:pPr>
        <w:jc w:val="both"/>
        <w:rPr>
          <w:rFonts w:asciiTheme="minorHAnsi" w:hAnsiTheme="minorHAnsi" w:cstheme="minorHAnsi"/>
          <w:i/>
          <w:sz w:val="24"/>
          <w:szCs w:val="24"/>
        </w:rPr>
      </w:pPr>
      <w:r>
        <w:rPr>
          <w:rFonts w:asciiTheme="minorHAnsi" w:hAnsiTheme="minorHAnsi" w:cstheme="minorHAnsi"/>
          <w:sz w:val="24"/>
          <w:szCs w:val="24"/>
        </w:rPr>
        <w:t xml:space="preserve"> </w:t>
      </w:r>
      <w:r>
        <w:rPr>
          <w:rFonts w:asciiTheme="minorHAnsi" w:hAnsiTheme="minorHAnsi" w:cstheme="minorHAnsi"/>
          <w:i/>
          <w:sz w:val="24"/>
          <w:szCs w:val="24"/>
        </w:rPr>
        <w:t xml:space="preserve">Strength of character is as important as academic achievement; therefore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pPr>
        <w:ind w:left="720"/>
        <w:jc w:val="both"/>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-Benedict College Academic Catalogue 2011-13</w:t>
      </w:r>
    </w:p>
    <w:p>
      <w:pPr>
        <w:ind w:left="720"/>
        <w:rPr>
          <w:rFonts w:asciiTheme="minorHAnsi" w:hAnsiTheme="minorHAnsi" w:cstheme="minorHAnsi"/>
          <w:sz w:val="24"/>
          <w:szCs w:val="24"/>
          <w:u w:val="single"/>
        </w:rPr>
      </w:pPr>
    </w:p>
    <w:p>
      <w:pPr>
        <w:rPr>
          <w:rFonts w:asciiTheme="minorHAnsi" w:hAnsiTheme="minorHAnsi" w:cstheme="minorHAnsi"/>
          <w:sz w:val="24"/>
          <w:szCs w:val="24"/>
        </w:rPr>
      </w:pPr>
      <w:r>
        <w:rPr>
          <w:rFonts w:asciiTheme="minorHAnsi" w:hAnsiTheme="minorHAnsi" w:cstheme="minorHAnsi"/>
          <w:b/>
          <w:smallCaps/>
          <w:sz w:val="24"/>
          <w:szCs w:val="24"/>
        </w:rPr>
        <w:t>Dress Code:</w:t>
      </w:r>
      <w:r>
        <w:rPr>
          <w:rFonts w:asciiTheme="minorHAnsi" w:hAnsiTheme="minorHAnsi" w:cstheme="minorHAnsi"/>
          <w:b/>
          <w:sz w:val="24"/>
          <w:szCs w:val="24"/>
        </w:rPr>
        <w:t xml:space="preserve">  </w:t>
      </w:r>
    </w:p>
    <w:p>
      <w:pPr>
        <w:pStyle w:val="15"/>
        <w:rPr>
          <w:rFonts w:asciiTheme="minorHAnsi" w:hAnsiTheme="minorHAnsi" w:cstheme="minorHAnsi"/>
          <w:i/>
        </w:rPr>
      </w:pPr>
      <w:r>
        <w:rPr>
          <w:rFonts w:asciiTheme="minorHAnsi" w:hAnsiTheme="minorHAnsi" w:cstheme="minorHAnsi"/>
          <w:i/>
        </w:rPr>
        <w:t>Students' dress at Benedict College should reflect high standards of personal self image so that each student may share in promoting a positive, healthy and safe atmosphere within the College community. The dress code is limited in time and place to College functions and educational facilities, including classrooms, the Cafeteria, the Campus Center and the Chapel. Students are expected to follow the Benedict College Dress Code.</w:t>
      </w:r>
    </w:p>
    <w:p>
      <w:pPr>
        <w:ind w:left="720"/>
        <w:rPr>
          <w:rFonts w:asciiTheme="minorHAnsi" w:hAnsiTheme="minorHAnsi" w:cstheme="minorHAnsi"/>
          <w:b/>
          <w:smallCaps/>
          <w:sz w:val="24"/>
          <w:szCs w:val="24"/>
        </w:rPr>
      </w:pPr>
    </w:p>
    <w:p>
      <w:pPr>
        <w:rPr>
          <w:rFonts w:asciiTheme="minorHAnsi" w:hAnsiTheme="minorHAnsi" w:cstheme="minorHAnsi"/>
          <w:sz w:val="24"/>
          <w:szCs w:val="24"/>
        </w:rPr>
      </w:pPr>
      <w:r>
        <w:rPr>
          <w:rFonts w:asciiTheme="minorHAnsi" w:hAnsiTheme="minorHAnsi" w:cstheme="minorHAnsi"/>
          <w:b/>
          <w:smallCaps/>
          <w:sz w:val="24"/>
          <w:szCs w:val="24"/>
        </w:rPr>
        <w:t>Use of Electronic Devices</w:t>
      </w:r>
      <w:r>
        <w:rPr>
          <w:rFonts w:asciiTheme="minorHAnsi" w:hAnsiTheme="minorHAnsi" w:cstheme="minorHAnsi"/>
          <w:sz w:val="24"/>
          <w:szCs w:val="24"/>
        </w:rPr>
        <w:t xml:space="preserve">:  </w:t>
      </w:r>
    </w:p>
    <w:p>
      <w:pPr>
        <w:pStyle w:val="15"/>
        <w:shd w:val="clear" w:color="auto" w:fill="FFFFFF"/>
        <w:spacing w:line="220" w:lineRule="exact"/>
        <w:rPr>
          <w:rFonts w:asciiTheme="minorHAnsi" w:hAnsiTheme="minorHAnsi" w:cstheme="minorHAnsi"/>
          <w:i/>
          <w:color w:val="000000"/>
        </w:rPr>
      </w:pPr>
      <w:r>
        <w:rPr>
          <w:rFonts w:asciiTheme="minorHAnsi" w:hAnsiTheme="minorHAnsi" w:cstheme="minorHAnsi"/>
          <w:i/>
          <w:color w:val="000000"/>
        </w:rPr>
        <w:t>It is the instructor’s responsibility to keep the learning environment at an optimum level. Therefore, cellular phones, etc. must be in silent mode and cannot be used during class. This includes talking, texting, etc.</w:t>
      </w:r>
    </w:p>
    <w:p>
      <w:pPr>
        <w:ind w:left="720"/>
        <w:rPr>
          <w:rFonts w:asciiTheme="minorHAnsi" w:hAnsiTheme="minorHAnsi" w:cstheme="minorHAnsi"/>
          <w:sz w:val="24"/>
          <w:szCs w:val="24"/>
          <w:u w:val="single"/>
        </w:rPr>
      </w:pPr>
    </w:p>
    <w:p>
      <w:pPr>
        <w:rPr>
          <w:rFonts w:asciiTheme="minorHAnsi" w:hAnsiTheme="minorHAnsi" w:cstheme="minorHAnsi"/>
          <w:sz w:val="24"/>
          <w:szCs w:val="24"/>
        </w:rPr>
      </w:pPr>
      <w:r>
        <w:rPr>
          <w:rFonts w:asciiTheme="minorHAnsi" w:hAnsiTheme="minorHAnsi" w:cstheme="minorHAnsi"/>
          <w:b/>
          <w:smallCaps/>
          <w:sz w:val="24"/>
          <w:szCs w:val="24"/>
        </w:rPr>
        <w:t>Students with Disabilities</w:t>
      </w:r>
      <w:r>
        <w:rPr>
          <w:rFonts w:asciiTheme="minorHAnsi" w:hAnsiTheme="minorHAnsi" w:cstheme="minorHAnsi"/>
          <w:sz w:val="24"/>
          <w:szCs w:val="24"/>
        </w:rPr>
        <w:t xml:space="preserve">:  </w:t>
      </w:r>
    </w:p>
    <w:p>
      <w:pPr>
        <w:ind w:left="720"/>
        <w:rPr>
          <w:rFonts w:asciiTheme="minorHAnsi" w:hAnsiTheme="minorHAnsi" w:cstheme="minorHAnsi"/>
          <w:sz w:val="24"/>
          <w:szCs w:val="24"/>
        </w:rPr>
      </w:pPr>
    </w:p>
    <w:p>
      <w:pPr>
        <w:shd w:val="clear" w:color="auto" w:fill="FFFFFF"/>
        <w:spacing w:line="220" w:lineRule="exact"/>
        <w:jc w:val="both"/>
        <w:rPr>
          <w:rFonts w:asciiTheme="minorHAnsi" w:hAnsiTheme="minorHAnsi" w:cstheme="minorHAnsi"/>
          <w:i/>
          <w:color w:val="000000"/>
          <w:sz w:val="24"/>
          <w:szCs w:val="24"/>
        </w:rPr>
      </w:pPr>
      <w:r>
        <w:rPr>
          <w:rFonts w:asciiTheme="minorHAnsi" w:hAnsiTheme="minorHAnsi" w:cstheme="minorHAnsi"/>
          <w:i/>
          <w:color w:val="000000"/>
          <w:sz w:val="24"/>
          <w:szCs w:val="24"/>
        </w:rPr>
        <w:t xml:space="preserve">The Office of Special Student Services, a component of the Educational Support Services Department, coordinates the services that are provided to students with disabilities and special needs. Accommodations are made available in accordance with the Disability Act of 1995 as related to post secondary educational institutions. Peer tutoring, study groups and laboratories are available to promote student learning and enhance student development. </w:t>
      </w:r>
    </w:p>
    <w:p>
      <w:pPr>
        <w:ind w:left="720"/>
        <w:rPr>
          <w:rFonts w:asciiTheme="minorHAnsi" w:hAnsiTheme="minorHAnsi" w:cstheme="minorHAnsi"/>
          <w:sz w:val="24"/>
          <w:szCs w:val="24"/>
          <w:u w:val="single"/>
        </w:rPr>
      </w:pPr>
    </w:p>
    <w:p>
      <w:pPr>
        <w:rPr>
          <w:rFonts w:asciiTheme="minorHAnsi" w:hAnsiTheme="minorHAnsi" w:cstheme="minorHAnsi"/>
          <w:sz w:val="24"/>
          <w:szCs w:val="24"/>
        </w:rPr>
      </w:pPr>
      <w:r>
        <w:rPr>
          <w:rFonts w:asciiTheme="minorHAnsi" w:hAnsiTheme="minorHAnsi" w:cstheme="minorHAnsi"/>
          <w:b/>
          <w:smallCaps/>
          <w:sz w:val="24"/>
          <w:szCs w:val="24"/>
        </w:rPr>
        <w:t>Class Attendance (Excused Absences)</w:t>
      </w:r>
      <w:r>
        <w:rPr>
          <w:rFonts w:asciiTheme="minorHAnsi" w:hAnsiTheme="minorHAnsi" w:cstheme="minorHAnsi"/>
          <w:smallCaps/>
          <w:sz w:val="24"/>
          <w:szCs w:val="24"/>
        </w:rPr>
        <w:t>:</w:t>
      </w:r>
      <w:r>
        <w:rPr>
          <w:rFonts w:asciiTheme="minorHAnsi" w:hAnsiTheme="minorHAnsi" w:cstheme="minorHAnsi"/>
          <w:sz w:val="24"/>
          <w:szCs w:val="24"/>
        </w:rPr>
        <w:t xml:space="preserve">  </w:t>
      </w:r>
    </w:p>
    <w:p>
      <w:pPr>
        <w:ind w:left="720"/>
        <w:rPr>
          <w:rFonts w:asciiTheme="minorHAnsi" w:hAnsiTheme="minorHAnsi" w:cstheme="minorHAnsi"/>
          <w:color w:val="C00000"/>
          <w:sz w:val="24"/>
          <w:szCs w:val="24"/>
        </w:rPr>
      </w:pPr>
    </w:p>
    <w:p>
      <w:pPr>
        <w:pStyle w:val="15"/>
        <w:shd w:val="clear" w:color="auto" w:fill="FFFFFF"/>
        <w:spacing w:before="0" w:beforeAutospacing="0" w:after="0" w:afterAutospacing="0" w:line="220" w:lineRule="exact"/>
        <w:jc w:val="both"/>
        <w:rPr>
          <w:rFonts w:asciiTheme="minorHAnsi" w:hAnsiTheme="minorHAnsi" w:cstheme="minorHAnsi"/>
          <w:i/>
          <w:color w:val="000000"/>
        </w:rPr>
      </w:pPr>
      <w:r>
        <w:rPr>
          <w:rFonts w:asciiTheme="minorHAnsi" w:hAnsiTheme="minorHAnsi" w:cstheme="minorHAnsi"/>
          <w:i/>
          <w:color w:val="000000"/>
        </w:rPr>
        <w:t xml:space="preserve">Students may secure an official excuse for class absences caused by school sponsored extracurricular activities, personal illness, death in family, severe family illness, and court summons (not incarceration). Excuses may be obtained in the Office of Student Affairs in the Administration Building, Room 100. Satisfactory documentation is required. Satisfactory documentation must be in the form of an “official” document of the issuing agency. That is, an official seal, letterhead and signature must appear on the document. Absolutely no copies will be accepted as satisfactory documentation. Any evidence of alteration of an official document will not be accepted, and the student may be subject to the appropriate disciplinary actions if alteration of the official document is proved. </w:t>
      </w:r>
      <w:r>
        <w:rPr>
          <w:rStyle w:val="16"/>
          <w:rFonts w:asciiTheme="minorHAnsi" w:hAnsiTheme="minorHAnsi" w:cstheme="minorHAnsi"/>
          <w:i/>
          <w:color w:val="000000"/>
        </w:rPr>
        <w:t>(Notes from relatives, friends, etc., are not</w:t>
      </w:r>
      <w:r>
        <w:rPr>
          <w:rFonts w:asciiTheme="minorHAnsi" w:hAnsiTheme="minorHAnsi" w:cstheme="minorHAnsi"/>
          <w:i/>
          <w:color w:val="000000"/>
        </w:rPr>
        <w:t xml:space="preserve"> </w:t>
      </w:r>
      <w:r>
        <w:rPr>
          <w:rStyle w:val="16"/>
          <w:rFonts w:asciiTheme="minorHAnsi" w:hAnsiTheme="minorHAnsi" w:cstheme="minorHAnsi"/>
          <w:i/>
          <w:color w:val="000000"/>
        </w:rPr>
        <w:t xml:space="preserve">accepted as "official" documentation for absences.) </w:t>
      </w:r>
      <w:r>
        <w:rPr>
          <w:rFonts w:asciiTheme="minorHAnsi" w:hAnsiTheme="minorHAnsi" w:cstheme="minorHAnsi"/>
          <w:i/>
          <w:color w:val="000000"/>
        </w:rPr>
        <w:t>The Student Health Center is delegated to issue excuses to students who receive services from the Student Health Center staff based on the students’ health assessment.</w:t>
      </w:r>
    </w:p>
    <w:p>
      <w:pPr>
        <w:pStyle w:val="15"/>
        <w:shd w:val="clear" w:color="auto" w:fill="FFFFFF"/>
        <w:spacing w:before="0" w:beforeAutospacing="0" w:after="0" w:afterAutospacing="0" w:line="220" w:lineRule="exact"/>
        <w:jc w:val="both"/>
        <w:rPr>
          <w:rFonts w:asciiTheme="minorHAnsi" w:hAnsiTheme="minorHAnsi" w:cstheme="minorHAnsi"/>
          <w:i/>
          <w:color w:val="000000"/>
        </w:rPr>
      </w:pPr>
    </w:p>
    <w:p>
      <w:pPr>
        <w:rPr>
          <w:rFonts w:asciiTheme="minorHAnsi" w:hAnsiTheme="minorHAnsi" w:cstheme="minorHAnsi"/>
          <w:b/>
          <w:sz w:val="24"/>
          <w:szCs w:val="24"/>
        </w:rPr>
      </w:pPr>
      <w:r>
        <w:rPr>
          <w:rFonts w:asciiTheme="minorHAnsi" w:hAnsiTheme="minorHAnsi" w:cstheme="minorHAnsi"/>
          <w:b/>
          <w:sz w:val="24"/>
          <w:szCs w:val="24"/>
        </w:rPr>
        <w:t>Bibliography and Other Resources</w:t>
      </w:r>
    </w:p>
    <w:p>
      <w:pPr>
        <w:rPr>
          <w:rFonts w:asciiTheme="minorHAnsi" w:hAnsiTheme="minorHAnsi" w:cstheme="minorHAnsi"/>
          <w:sz w:val="24"/>
          <w:szCs w:val="24"/>
        </w:rPr>
      </w:pPr>
      <w:r>
        <w:rPr>
          <w:rFonts w:asciiTheme="minorHAnsi" w:hAnsiTheme="minorHAnsi" w:cstheme="minorHAnsi"/>
          <w:sz w:val="24"/>
          <w:szCs w:val="24"/>
        </w:rPr>
        <w:t>Brown, L. (2007), Resume Writing Made Easy:  A Practical Guide to Rescue Preparation and Job Search.  Upper Saddle River, New Jersey, Pearson/Prentice Hall</w:t>
      </w:r>
    </w:p>
    <w:p>
      <w:pPr>
        <w:rPr>
          <w:rFonts w:asciiTheme="minorHAnsi" w:hAnsiTheme="minorHAnsi" w:cstheme="minorHAnsi"/>
          <w:sz w:val="24"/>
          <w:szCs w:val="24"/>
        </w:rPr>
      </w:pPr>
    </w:p>
    <w:p>
      <w:pPr>
        <w:rPr>
          <w:rFonts w:asciiTheme="minorHAnsi" w:hAnsiTheme="minorHAnsi" w:cstheme="minorHAnsi"/>
          <w:sz w:val="24"/>
          <w:szCs w:val="24"/>
        </w:rPr>
      </w:pPr>
      <w:r>
        <w:rPr>
          <w:rFonts w:asciiTheme="minorHAnsi" w:hAnsiTheme="minorHAnsi" w:cstheme="minorHAnsi"/>
          <w:sz w:val="24"/>
          <w:szCs w:val="24"/>
        </w:rPr>
        <w:t>Johnson, S. M. (2006).  The Career Adventure:  Your Guide to Personal Assessment, Career Exploration, and Decision Making,  Upper Saddle River, New Jersey, Prentice Hall.</w:t>
      </w:r>
    </w:p>
    <w:p>
      <w:pPr>
        <w:rPr>
          <w:rFonts w:asciiTheme="minorHAnsi" w:hAnsiTheme="minorHAnsi" w:cstheme="minorHAnsi"/>
          <w:sz w:val="24"/>
          <w:szCs w:val="24"/>
        </w:rPr>
      </w:pPr>
    </w:p>
    <w:p>
      <w:pPr>
        <w:rPr>
          <w:rFonts w:asciiTheme="minorHAnsi" w:hAnsiTheme="minorHAnsi" w:cstheme="minorHAnsi"/>
          <w:b/>
          <w:sz w:val="24"/>
          <w:szCs w:val="24"/>
        </w:rPr>
      </w:pPr>
      <w:r>
        <w:rPr>
          <w:rFonts w:asciiTheme="minorHAnsi" w:hAnsiTheme="minorHAnsi" w:cstheme="minorHAnsi"/>
          <w:sz w:val="24"/>
          <w:szCs w:val="24"/>
        </w:rPr>
        <w:t>McWhorter, K. (2012)  The Successful Writer’s Handbook.  New York, NY, Pearson Education, Inc.</w:t>
      </w:r>
    </w:p>
    <w:p>
      <w:pPr>
        <w:jc w:val="center"/>
        <w:rPr>
          <w:rFonts w:asciiTheme="minorHAnsi" w:hAnsiTheme="minorHAnsi" w:cstheme="minorHAnsi"/>
          <w:sz w:val="24"/>
          <w:szCs w:val="24"/>
        </w:rPr>
      </w:pPr>
    </w:p>
    <w:sectPr>
      <w:footerReference r:id="rId4" w:type="first"/>
      <w:footerReference r:id="rId3" w:type="default"/>
      <w:pgSz w:w="12240" w:h="15840"/>
      <w:pgMar w:top="720" w:right="1800" w:bottom="907" w:left="1800" w:header="720" w:footer="720" w:gutter="0"/>
      <w:cols w:space="720" w:num="1"/>
      <w:titlePg/>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right"/>
      <w:rPr>
        <w:rFonts w:asciiTheme="minorHAnsi" w:hAnsiTheme="minorHAnsi" w:cstheme="minorHAnsi"/>
        <w:sz w:val="28"/>
        <w:szCs w:val="28"/>
      </w:rPr>
    </w:pPr>
    <w:r>
      <w:rPr>
        <w:rFonts w:asciiTheme="minorHAnsi" w:hAnsiTheme="minorHAnsi" w:cstheme="minorHAnsi"/>
        <w:sz w:val="28"/>
        <w:szCs w:val="28"/>
      </w:rPr>
      <w:t xml:space="preserve">pg. </w:t>
    </w:r>
    <w:r>
      <w:rPr>
        <w:rFonts w:asciiTheme="minorHAnsi" w:hAnsiTheme="minorHAnsi" w:cstheme="minorHAnsi"/>
      </w:rPr>
      <w:fldChar w:fldCharType="begin"/>
    </w:r>
    <w:r>
      <w:rPr>
        <w:rFonts w:asciiTheme="minorHAnsi" w:hAnsiTheme="minorHAnsi" w:cstheme="minorHAnsi"/>
      </w:rPr>
      <w:instrText xml:space="preserve"> PAGE    \* MERGEFORMAT </w:instrText>
    </w:r>
    <w:r>
      <w:rPr>
        <w:rFonts w:asciiTheme="minorHAnsi" w:hAnsiTheme="minorHAnsi" w:cstheme="minorHAnsi"/>
      </w:rPr>
      <w:fldChar w:fldCharType="separate"/>
    </w:r>
    <w:r>
      <w:rPr>
        <w:rFonts w:asciiTheme="minorHAnsi" w:hAnsiTheme="minorHAnsi" w:cstheme="minorHAnsi"/>
        <w:sz w:val="28"/>
        <w:szCs w:val="28"/>
      </w:rPr>
      <w:t>5</w:t>
    </w:r>
    <w:r>
      <w:rPr>
        <w:rFonts w:asciiTheme="minorHAnsi" w:hAnsiTheme="minorHAnsi" w:cstheme="minorHAnsi"/>
        <w:sz w:val="28"/>
        <w:szCs w:val="28"/>
      </w:rPr>
      <w:fldChar w:fldCharType="end"/>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Theme="minorHAnsi" w:hAnsiTheme="minorHAnsi" w:cstheme="minorHAnsi"/>
      </w:rPr>
    </w:pPr>
    <w:r>
      <w:rPr>
        <w:rFonts w:asciiTheme="minorHAnsi" w:hAnsiTheme="minorHAnsi" w:cstheme="minorHAnsi"/>
      </w:rPr>
      <w:t>1600 Harden St., Columbia, S.C.  29204</w:t>
    </w:r>
    <w:r>
      <w:rPr>
        <w:rFonts w:asciiTheme="minorHAnsi" w:hAnsiTheme="minorHAnsi" w:cstheme="minorHAnsi"/>
      </w:rPr>
      <w:tab/>
    </w:r>
    <w:r>
      <w:rPr>
        <w:rFonts w:asciiTheme="minorHAnsi" w:hAnsiTheme="minorHAnsi" w:cstheme="minorHAnsi"/>
      </w:rPr>
      <w:t xml:space="preserve">Revised </w:t>
    </w:r>
    <w:r>
      <w:rPr>
        <w:rFonts w:asciiTheme="minorHAnsi" w:hAnsiTheme="minorHAnsi" w:cstheme="minorHAnsi"/>
      </w:rPr>
      <w:fldChar w:fldCharType="begin"/>
    </w:r>
    <w:r>
      <w:rPr>
        <w:rFonts w:asciiTheme="minorHAnsi" w:hAnsiTheme="minorHAnsi" w:cstheme="minorHAnsi"/>
      </w:rPr>
      <w:instrText xml:space="preserve"> DATE \@ "MMMM d, yyyy" </w:instrText>
    </w:r>
    <w:r>
      <w:rPr>
        <w:rFonts w:asciiTheme="minorHAnsi" w:hAnsiTheme="minorHAnsi" w:cstheme="minorHAnsi"/>
      </w:rPr>
      <w:fldChar w:fldCharType="separate"/>
    </w:r>
    <w:r>
      <w:rPr>
        <w:rFonts w:asciiTheme="minorHAnsi" w:hAnsiTheme="minorHAnsi" w:cstheme="minorHAnsi"/>
      </w:rPr>
      <w:t>May 15, 2021</w:t>
    </w:r>
    <w:r>
      <w:rPr>
        <w:rFonts w:asciiTheme="minorHAnsi" w:hAnsiTheme="minorHAnsi" w:cstheme="minorHAnsi"/>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2D6C9D"/>
    <w:multiLevelType w:val="multilevel"/>
    <w:tmpl w:val="302D6C9D"/>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0"/>
  <w:displayVerticalDrawingGridEvery w:val="0"/>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C78"/>
    <w:rsid w:val="00011087"/>
    <w:rsid w:val="000349C2"/>
    <w:rsid w:val="00034BB2"/>
    <w:rsid w:val="00043371"/>
    <w:rsid w:val="0004568A"/>
    <w:rsid w:val="000A1F3D"/>
    <w:rsid w:val="000A7853"/>
    <w:rsid w:val="000E52ED"/>
    <w:rsid w:val="000F1B7C"/>
    <w:rsid w:val="001009D7"/>
    <w:rsid w:val="00102C78"/>
    <w:rsid w:val="00105287"/>
    <w:rsid w:val="00121D14"/>
    <w:rsid w:val="001327C6"/>
    <w:rsid w:val="00133016"/>
    <w:rsid w:val="00137A73"/>
    <w:rsid w:val="00145B16"/>
    <w:rsid w:val="00146F5C"/>
    <w:rsid w:val="00165496"/>
    <w:rsid w:val="00170990"/>
    <w:rsid w:val="00180919"/>
    <w:rsid w:val="001834AD"/>
    <w:rsid w:val="00187D30"/>
    <w:rsid w:val="001A2D0B"/>
    <w:rsid w:val="001C28C7"/>
    <w:rsid w:val="001E6338"/>
    <w:rsid w:val="00217260"/>
    <w:rsid w:val="00225A39"/>
    <w:rsid w:val="00226B98"/>
    <w:rsid w:val="00260C4C"/>
    <w:rsid w:val="002710F2"/>
    <w:rsid w:val="0029465E"/>
    <w:rsid w:val="002A47B2"/>
    <w:rsid w:val="002B3FD4"/>
    <w:rsid w:val="002D6D4E"/>
    <w:rsid w:val="002E07FD"/>
    <w:rsid w:val="00317271"/>
    <w:rsid w:val="003221B6"/>
    <w:rsid w:val="00330BDE"/>
    <w:rsid w:val="00333705"/>
    <w:rsid w:val="00364EB2"/>
    <w:rsid w:val="0037391D"/>
    <w:rsid w:val="003739E2"/>
    <w:rsid w:val="003821A4"/>
    <w:rsid w:val="003837C3"/>
    <w:rsid w:val="00385F39"/>
    <w:rsid w:val="00390427"/>
    <w:rsid w:val="00394809"/>
    <w:rsid w:val="003B37AC"/>
    <w:rsid w:val="003C1D93"/>
    <w:rsid w:val="003C333A"/>
    <w:rsid w:val="003D23DF"/>
    <w:rsid w:val="004038E8"/>
    <w:rsid w:val="00414D07"/>
    <w:rsid w:val="004452E4"/>
    <w:rsid w:val="0045091C"/>
    <w:rsid w:val="00471674"/>
    <w:rsid w:val="0047653D"/>
    <w:rsid w:val="00483027"/>
    <w:rsid w:val="00492787"/>
    <w:rsid w:val="0049765F"/>
    <w:rsid w:val="004B037C"/>
    <w:rsid w:val="004B2C48"/>
    <w:rsid w:val="004F58A7"/>
    <w:rsid w:val="00520D00"/>
    <w:rsid w:val="00527C25"/>
    <w:rsid w:val="0053238F"/>
    <w:rsid w:val="0053635C"/>
    <w:rsid w:val="0054721A"/>
    <w:rsid w:val="00547AF4"/>
    <w:rsid w:val="005622D5"/>
    <w:rsid w:val="00587DDC"/>
    <w:rsid w:val="005A6947"/>
    <w:rsid w:val="005C18C6"/>
    <w:rsid w:val="005C274A"/>
    <w:rsid w:val="005E1F20"/>
    <w:rsid w:val="005F524B"/>
    <w:rsid w:val="00642B67"/>
    <w:rsid w:val="00644634"/>
    <w:rsid w:val="00647420"/>
    <w:rsid w:val="00665A7D"/>
    <w:rsid w:val="00677133"/>
    <w:rsid w:val="00686FE1"/>
    <w:rsid w:val="006B4352"/>
    <w:rsid w:val="006B4C3F"/>
    <w:rsid w:val="006C0155"/>
    <w:rsid w:val="006C5E24"/>
    <w:rsid w:val="006C6E62"/>
    <w:rsid w:val="006D2861"/>
    <w:rsid w:val="006E2D6E"/>
    <w:rsid w:val="006F0F9E"/>
    <w:rsid w:val="006F33BF"/>
    <w:rsid w:val="00724DA5"/>
    <w:rsid w:val="007403AF"/>
    <w:rsid w:val="0075246D"/>
    <w:rsid w:val="00755740"/>
    <w:rsid w:val="00790ACE"/>
    <w:rsid w:val="007B10D8"/>
    <w:rsid w:val="007B362B"/>
    <w:rsid w:val="007C5E22"/>
    <w:rsid w:val="007E0D5B"/>
    <w:rsid w:val="007E7695"/>
    <w:rsid w:val="007F18A3"/>
    <w:rsid w:val="008221B0"/>
    <w:rsid w:val="0082381A"/>
    <w:rsid w:val="0083209F"/>
    <w:rsid w:val="00845EC6"/>
    <w:rsid w:val="0088637E"/>
    <w:rsid w:val="008A2628"/>
    <w:rsid w:val="008C5144"/>
    <w:rsid w:val="008D3B36"/>
    <w:rsid w:val="009250C0"/>
    <w:rsid w:val="00946AEE"/>
    <w:rsid w:val="009565CF"/>
    <w:rsid w:val="00960861"/>
    <w:rsid w:val="00962764"/>
    <w:rsid w:val="00991C43"/>
    <w:rsid w:val="009A4A86"/>
    <w:rsid w:val="009A71A1"/>
    <w:rsid w:val="009D4589"/>
    <w:rsid w:val="00A047ED"/>
    <w:rsid w:val="00A10331"/>
    <w:rsid w:val="00A21F6F"/>
    <w:rsid w:val="00A74D58"/>
    <w:rsid w:val="00A972A0"/>
    <w:rsid w:val="00AA3AEA"/>
    <w:rsid w:val="00AA6CEA"/>
    <w:rsid w:val="00AD2D49"/>
    <w:rsid w:val="00AE1F67"/>
    <w:rsid w:val="00B06029"/>
    <w:rsid w:val="00B872F4"/>
    <w:rsid w:val="00B90FDF"/>
    <w:rsid w:val="00BB380E"/>
    <w:rsid w:val="00BC0B33"/>
    <w:rsid w:val="00BC3B43"/>
    <w:rsid w:val="00BC5C93"/>
    <w:rsid w:val="00BE37D1"/>
    <w:rsid w:val="00BE4271"/>
    <w:rsid w:val="00C04FBC"/>
    <w:rsid w:val="00C22C66"/>
    <w:rsid w:val="00C24FEC"/>
    <w:rsid w:val="00C269DE"/>
    <w:rsid w:val="00C50453"/>
    <w:rsid w:val="00C5102B"/>
    <w:rsid w:val="00C71B60"/>
    <w:rsid w:val="00C76C82"/>
    <w:rsid w:val="00C90498"/>
    <w:rsid w:val="00C90773"/>
    <w:rsid w:val="00CA0EF4"/>
    <w:rsid w:val="00CA13E3"/>
    <w:rsid w:val="00CB0F94"/>
    <w:rsid w:val="00CD1DFE"/>
    <w:rsid w:val="00CD2549"/>
    <w:rsid w:val="00CF0FF1"/>
    <w:rsid w:val="00CF3DAC"/>
    <w:rsid w:val="00D00D37"/>
    <w:rsid w:val="00D10DD7"/>
    <w:rsid w:val="00D15EA4"/>
    <w:rsid w:val="00D16388"/>
    <w:rsid w:val="00D521BE"/>
    <w:rsid w:val="00D5633D"/>
    <w:rsid w:val="00D63D86"/>
    <w:rsid w:val="00D92113"/>
    <w:rsid w:val="00D941E7"/>
    <w:rsid w:val="00D9478B"/>
    <w:rsid w:val="00DB0882"/>
    <w:rsid w:val="00DD13A3"/>
    <w:rsid w:val="00DD4B28"/>
    <w:rsid w:val="00DF2B29"/>
    <w:rsid w:val="00DF5CD7"/>
    <w:rsid w:val="00DF6C8C"/>
    <w:rsid w:val="00E00F59"/>
    <w:rsid w:val="00E10028"/>
    <w:rsid w:val="00E2428B"/>
    <w:rsid w:val="00E316D5"/>
    <w:rsid w:val="00E52302"/>
    <w:rsid w:val="00E97C9E"/>
    <w:rsid w:val="00EA1730"/>
    <w:rsid w:val="00EA6BA8"/>
    <w:rsid w:val="00EC224C"/>
    <w:rsid w:val="00EC60BB"/>
    <w:rsid w:val="00EF7D25"/>
    <w:rsid w:val="00F247CA"/>
    <w:rsid w:val="00F302F6"/>
    <w:rsid w:val="00F4327D"/>
    <w:rsid w:val="00F60860"/>
    <w:rsid w:val="00F95B0F"/>
    <w:rsid w:val="00F97C0C"/>
    <w:rsid w:val="00FA6CE7"/>
    <w:rsid w:val="00FB6377"/>
    <w:rsid w:val="00FC26FA"/>
    <w:rsid w:val="00FC2A7F"/>
    <w:rsid w:val="00FD7225"/>
    <w:rsid w:val="577864B9"/>
    <w:rsid w:val="5CBE2657"/>
    <w:rsid w:val="5E6875D2"/>
    <w:rsid w:val="5E78392E"/>
    <w:rsid w:val="75A131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US" w:eastAsia="en-US" w:bidi="ar-SA"/>
    </w:rPr>
  </w:style>
  <w:style w:type="paragraph" w:styleId="2">
    <w:name w:val="heading 1"/>
    <w:basedOn w:val="1"/>
    <w:next w:val="1"/>
    <w:qFormat/>
    <w:uiPriority w:val="0"/>
    <w:pPr>
      <w:keepNext/>
      <w:outlineLvl w:val="0"/>
    </w:pPr>
    <w:rPr>
      <w:b/>
      <w:sz w:val="18"/>
    </w:rPr>
  </w:style>
  <w:style w:type="paragraph" w:styleId="3">
    <w:name w:val="heading 2"/>
    <w:basedOn w:val="1"/>
    <w:next w:val="1"/>
    <w:qFormat/>
    <w:uiPriority w:val="0"/>
    <w:pPr>
      <w:keepNext/>
      <w:outlineLvl w:val="1"/>
    </w:pPr>
    <w:rPr>
      <w:b/>
      <w:bCs/>
      <w:szCs w:val="24"/>
    </w:rPr>
  </w:style>
  <w:style w:type="paragraph" w:styleId="4">
    <w:name w:val="heading 3"/>
    <w:basedOn w:val="1"/>
    <w:next w:val="1"/>
    <w:qFormat/>
    <w:uiPriority w:val="0"/>
    <w:pPr>
      <w:keepNext/>
      <w:outlineLvl w:val="2"/>
    </w:pPr>
    <w:rPr>
      <w:b/>
      <w:sz w:val="22"/>
    </w:rPr>
  </w:style>
  <w:style w:type="paragraph" w:styleId="5">
    <w:name w:val="heading 4"/>
    <w:basedOn w:val="1"/>
    <w:next w:val="1"/>
    <w:qFormat/>
    <w:uiPriority w:val="0"/>
    <w:pPr>
      <w:keepNext/>
      <w:jc w:val="center"/>
      <w:outlineLvl w:val="3"/>
    </w:pPr>
    <w:rPr>
      <w:b/>
      <w:sz w:val="24"/>
    </w:rPr>
  </w:style>
  <w:style w:type="paragraph" w:styleId="6">
    <w:name w:val="heading 5"/>
    <w:basedOn w:val="1"/>
    <w:next w:val="1"/>
    <w:link w:val="22"/>
    <w:qFormat/>
    <w:uiPriority w:val="0"/>
    <w:pPr>
      <w:keepNext/>
      <w:outlineLvl w:val="4"/>
    </w:pPr>
    <w:rPr>
      <w:b/>
      <w:bCs/>
      <w:sz w:val="24"/>
      <w:szCs w:val="24"/>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9">
    <w:name w:val="Balloon Text"/>
    <w:basedOn w:val="1"/>
    <w:link w:val="21"/>
    <w:uiPriority w:val="0"/>
    <w:rPr>
      <w:rFonts w:ascii="Tahoma" w:hAnsi="Tahoma"/>
      <w:sz w:val="16"/>
      <w:szCs w:val="16"/>
    </w:rPr>
  </w:style>
  <w:style w:type="paragraph" w:styleId="10">
    <w:name w:val="Body Text Indent"/>
    <w:basedOn w:val="1"/>
    <w:link w:val="24"/>
    <w:uiPriority w:val="0"/>
    <w:pPr>
      <w:tabs>
        <w:tab w:val="left" w:pos="2160"/>
      </w:tabs>
      <w:ind w:left="2160" w:hanging="180"/>
    </w:pPr>
    <w:rPr>
      <w:rFonts w:ascii="Arial" w:hAnsi="Arial"/>
      <w:sz w:val="24"/>
    </w:rPr>
  </w:style>
  <w:style w:type="character" w:styleId="11">
    <w:name w:val="FollowedHyperlink"/>
    <w:uiPriority w:val="0"/>
    <w:rPr>
      <w:color w:val="800080"/>
      <w:u w:val="single"/>
    </w:rPr>
  </w:style>
  <w:style w:type="paragraph" w:styleId="12">
    <w:name w:val="footer"/>
    <w:basedOn w:val="1"/>
    <w:link w:val="20"/>
    <w:uiPriority w:val="99"/>
    <w:pPr>
      <w:tabs>
        <w:tab w:val="center" w:pos="4680"/>
        <w:tab w:val="right" w:pos="9360"/>
      </w:tabs>
    </w:pPr>
  </w:style>
  <w:style w:type="paragraph" w:styleId="13">
    <w:name w:val="header"/>
    <w:basedOn w:val="1"/>
    <w:link w:val="19"/>
    <w:uiPriority w:val="0"/>
    <w:pPr>
      <w:tabs>
        <w:tab w:val="center" w:pos="4680"/>
        <w:tab w:val="right" w:pos="9360"/>
      </w:tabs>
    </w:pPr>
  </w:style>
  <w:style w:type="character" w:styleId="14">
    <w:name w:val="Hyperlink"/>
    <w:uiPriority w:val="0"/>
    <w:rPr>
      <w:color w:val="0000FF"/>
      <w:u w:val="single"/>
    </w:rPr>
  </w:style>
  <w:style w:type="paragraph" w:styleId="15">
    <w:name w:val="Normal (Web)"/>
    <w:basedOn w:val="1"/>
    <w:unhideWhenUsed/>
    <w:uiPriority w:val="99"/>
    <w:pPr>
      <w:spacing w:before="100" w:beforeAutospacing="1" w:after="100" w:afterAutospacing="1"/>
    </w:pPr>
    <w:rPr>
      <w:sz w:val="24"/>
      <w:szCs w:val="24"/>
    </w:rPr>
  </w:style>
  <w:style w:type="character" w:styleId="16">
    <w:name w:val="Strong"/>
    <w:qFormat/>
    <w:uiPriority w:val="22"/>
    <w:rPr>
      <w:b/>
      <w:bCs/>
    </w:rPr>
  </w:style>
  <w:style w:type="table" w:styleId="17">
    <w:name w:val="Table Grid"/>
    <w:basedOn w:val="8"/>
    <w:uiPriority w:val="5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Title"/>
    <w:basedOn w:val="1"/>
    <w:qFormat/>
    <w:uiPriority w:val="0"/>
    <w:pPr>
      <w:jc w:val="center"/>
    </w:pPr>
    <w:rPr>
      <w:b/>
      <w:sz w:val="24"/>
    </w:rPr>
  </w:style>
  <w:style w:type="character" w:customStyle="1" w:styleId="19">
    <w:name w:val="Header Char"/>
    <w:basedOn w:val="7"/>
    <w:link w:val="13"/>
    <w:uiPriority w:val="0"/>
  </w:style>
  <w:style w:type="character" w:customStyle="1" w:styleId="20">
    <w:name w:val="Footer Char"/>
    <w:basedOn w:val="7"/>
    <w:link w:val="12"/>
    <w:uiPriority w:val="99"/>
  </w:style>
  <w:style w:type="character" w:customStyle="1" w:styleId="21">
    <w:name w:val="Balloon Text Char"/>
    <w:link w:val="9"/>
    <w:uiPriority w:val="0"/>
    <w:rPr>
      <w:rFonts w:ascii="Tahoma" w:hAnsi="Tahoma" w:cs="Tahoma"/>
      <w:sz w:val="16"/>
      <w:szCs w:val="16"/>
    </w:rPr>
  </w:style>
  <w:style w:type="character" w:customStyle="1" w:styleId="22">
    <w:name w:val="Heading 5 Char"/>
    <w:link w:val="6"/>
    <w:uiPriority w:val="0"/>
    <w:rPr>
      <w:b/>
      <w:bCs/>
      <w:sz w:val="24"/>
      <w:szCs w:val="24"/>
    </w:rPr>
  </w:style>
  <w:style w:type="paragraph" w:styleId="23">
    <w:name w:val="List Paragraph"/>
    <w:basedOn w:val="1"/>
    <w:qFormat/>
    <w:uiPriority w:val="34"/>
    <w:pPr>
      <w:spacing w:after="200" w:line="276" w:lineRule="auto"/>
      <w:ind w:left="720"/>
      <w:contextualSpacing/>
    </w:pPr>
    <w:rPr>
      <w:rFonts w:ascii="Calibri" w:hAnsi="Calibri" w:eastAsia="Calibri"/>
      <w:sz w:val="22"/>
      <w:szCs w:val="22"/>
    </w:rPr>
  </w:style>
  <w:style w:type="character" w:customStyle="1" w:styleId="24">
    <w:name w:val="Body Text Indent Char"/>
    <w:link w:val="10"/>
    <w:qFormat/>
    <w:uiPriority w:val="0"/>
    <w:rPr>
      <w:rFonts w:ascii="Arial" w:hAnsi="Arial"/>
      <w:sz w:val="24"/>
    </w:rPr>
  </w:style>
  <w:style w:type="character" w:customStyle="1" w:styleId="25">
    <w:name w:val="fnt0"/>
    <w:qFormat/>
    <w:uiPriority w:val="0"/>
    <w:rPr>
      <w:color w:val="00000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Brooks</Company>
  <Pages>5</Pages>
  <Words>1115</Words>
  <Characters>6769</Characters>
  <Lines>56</Lines>
  <Paragraphs>15</Paragraphs>
  <TotalTime>38</TotalTime>
  <ScaleCrop>false</ScaleCrop>
  <LinksUpToDate>false</LinksUpToDate>
  <CharactersWithSpaces>7869</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2021-01-05T21:40:00Z</dcterms:created>
  <dc:creator>charles brooks</dc:creator>
  <cp:lastModifiedBy>User</cp:lastModifiedBy>
  <cp:lastPrinted>2021-01-09T17:04:00Z</cp:lastPrinted>
  <dcterms:modified xsi:type="dcterms:W3CDTF">2021-05-16T05:16:01Z</dcterms:modified>
  <dc:title>THEATER 101T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